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2004 21 vom 14. Februar 2026</w:t>
      </w:r>
    </w:p>
    <w:p>
      <w:r>
        <w:t>GR Gerichte, 2026-02-14, DE</w:t>
      </w:r>
    </w:p>
    <w:p>
      <w:r>
        <w:rPr>
          <w:b/>
        </w:rPr>
        <w:t xml:space="preserve">Quelle: </w:t>
      </w:r>
      <w:r>
        <w:t>https://mcp.opencaselaw.ch/entscheid/gr_gerichte_PVG 2004 21</w:t>
      </w:r>
    </w:p>
    <w:p>
      <w:r>
        <w:t>FR: GR_GERICHTE PVG 2004 21 du 14 février 2026</w:t>
      </w:r>
    </w:p>
    <w:p>
      <w:r>
        <w:t>IT: GR_GERICHTE PVG 2004 21 del 14 febbraio 2026</w:t>
      </w:r>
    </w:p>
    <w:p>
      <w:pPr>
        <w:pStyle w:val="Heading2"/>
      </w:pPr>
      <w:r>
        <w:t>Erwägungen</w:t>
      </w:r>
    </w:p>
    <w:p>
      <w:r>
        <w:rPr>
          <w:b/>
        </w:rPr>
        <w:t>E. 1</w:t>
      </w:r>
    </w:p>
    <w:p>
      <w:r>
        <w:t>Die Gesetzesdelegation darf nicht durch die Verfassung ausgeschlossen sein;</w:t>
      </w:r>
    </w:p>
    <w:p>
      <w:r>
        <w:rPr>
          <w:b/>
        </w:rPr>
        <w:t>E. 2</w:t>
      </w:r>
    </w:p>
    <w:p>
      <w:r>
        <w:t>Die Delegationsnorm muss in einem Gesetz im formel- len Sinne enthalten sein;</w:t>
      </w:r>
    </w:p>
    <w:p>
      <w:r>
        <w:rPr>
          <w:b/>
        </w:rPr>
        <w:t>E. 3</w:t>
      </w:r>
    </w:p>
    <w:p>
      <w:r>
        <w:t>Die Delegation muss sich auf eine bestimmte, genau umschriebene Materie beschränken;</w:t>
      </w:r>
    </w:p>
    <w:p>
      <w:r>
        <w:rPr>
          <w:b/>
        </w:rPr>
        <w:t>E. 4</w:t>
      </w:r>
    </w:p>
    <w:p>
      <w:r>
        <w:t>Die Grundzüge der delegierten Materie, d.h. die wichti- gen Regelungen, müssen in einem Gesetz im formellen Sinne umschrieben sein. In Bezug auf die letzte Anforderung an die Gesetzesdele- gation (Ziff. 4) hat die bundesgerichtliche Rechtsprechung im Ab- gaberecht den Grundsatz entwickelt, dass das Gesetz im formellen Sinne mindestens drei Voraussetzungen zu erfüllen hat. Das Ge- setz hat namentlich den Kreis der Abgabepflichtigen (Subjekt), den 111 21</w:t>
      </w:r>
    </w:p>
    <w:p>
      <w:r>
        <w:rPr>
          <w:b/>
        </w:rPr>
        <w:t>E. 9</w:t>
      </w:r>
    </w:p>
    <w:p>
      <w:r>
        <w:t>/ 21 Gebühren und Abgaben PVG 2004 schnittsmassstäbe oder auf Normen von Verbänden abgestellt werden. Das Legalitätsprinzip gebietet es jedoch nicht, die Anzahl Pflichtparkplätze etwa für jede Gebäudeart oder Nutzung in einem formellen Gesetz festzuschreiben. Vielmehr genügt es, wenn die Verwaltung ermächtigt wird, etwa die «notwendige», «erforderli- che» oder «ausreichende» Anzahl Abstellflächen zu ermitteln und festzusetzen. Die Auslegung und Anwendung solcher unbestimm- ter Gesetzesbegriffe ist dann Aufgabe der Verwaltung. Derartigen unbestimmten Gesetzesbegriffen kann nicht nur im Bau- oder Kau- salabgaberecht häufig begegnet werden; sie sind selbst im Steu- errecht, wo die strengsten Anforderungen an die Einhaltung des Legalitätsprinzipes gestellt werden, häufig anzutreffen und stehen durchaus in Einklang mit dem Gesetzmässigkeitsgrundsatz. So wird im Steuerrecht etwa von wirtschaftlicher Betrachtungsweise, betriebsnotwendigem Anlagevermögen, notwendigen Berufsaus- lagen, üblichen Provisionen, geschäftsmässig begründetem Auf- wand und dergleichen mehr gesprochen. Vor allem die Komple- xität der im Einzelfall erforderlichen Entscheidung, die Notwen- digkeit einer erst bei der Konkretisierung möglichen Wahl, die nicht abstrakt erfassbare Vielfalt der zu ordnenden Sachverhalte und das Bedürfnis nach einer sachgerechten Entscheidung im Ein- zelfall rechtfertigten durchaus eine gewisse Unbestimmtheit der Normen in diesem Sinne (BGE 109 Ia 284; ASA 60, S. 6), ohne dass deswegen das Legalitätsprinzip verletzt würde. Wenn der Gesetz- geber die Festlegung der notwendigen Anzahl Pflichtparkplätze u.a. für Gaststätten an die Exekutive delegiert hat, ist dies nach dem Gesagten nicht zu beanstanden. A 04 26 Urteil vom 6. Juli 2004 Dagegen an das Bundesgericht erhobene staatsrechtliche Be- schwerde noch hängig. 113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